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68F" w:rsidRPr="00CE7B1A" w:rsidRDefault="00CE7B1A" w:rsidP="00CE7B1A">
      <w:pPr>
        <w:autoSpaceDE w:val="0"/>
        <w:autoSpaceDN w:val="0"/>
        <w:adjustRightInd w:val="0"/>
        <w:spacing w:after="0" w:line="240" w:lineRule="auto"/>
        <w:ind w:left="0" w:firstLine="0"/>
        <w:rPr>
          <w:rFonts w:cs="Arial"/>
          <w:b/>
          <w:sz w:val="24"/>
          <w:szCs w:val="24"/>
        </w:rPr>
      </w:pPr>
      <w:proofErr w:type="spellStart"/>
      <w:r w:rsidRPr="00CE7B1A">
        <w:rPr>
          <w:rFonts w:cs="Arial"/>
          <w:b/>
          <w:sz w:val="24"/>
          <w:szCs w:val="24"/>
        </w:rPr>
        <w:t>UF_TankPOL</w:t>
      </w:r>
      <w:proofErr w:type="spellEnd"/>
    </w:p>
    <w:p w:rsidR="00CE7B1A" w:rsidRPr="00CE7B1A" w:rsidRDefault="00CE7B1A" w:rsidP="00CE7B1A">
      <w:pPr>
        <w:autoSpaceDE w:val="0"/>
        <w:autoSpaceDN w:val="0"/>
        <w:adjustRightInd w:val="0"/>
        <w:spacing w:after="0" w:line="240" w:lineRule="auto"/>
        <w:ind w:left="0" w:firstLine="0"/>
        <w:rPr>
          <w:rFonts w:cs="Arial"/>
          <w:sz w:val="24"/>
          <w:szCs w:val="24"/>
        </w:rPr>
      </w:pPr>
    </w:p>
    <w:p w:rsidR="00CE7B1A" w:rsidRPr="00CE7B1A" w:rsidRDefault="00CE7B1A" w:rsidP="00CE7B1A">
      <w:pPr>
        <w:autoSpaceDE w:val="0"/>
        <w:autoSpaceDN w:val="0"/>
        <w:adjustRightInd w:val="0"/>
        <w:spacing w:after="0" w:line="240" w:lineRule="auto"/>
        <w:ind w:left="0" w:firstLine="0"/>
        <w:rPr>
          <w:rFonts w:cs="Arial"/>
          <w:sz w:val="24"/>
          <w:szCs w:val="24"/>
          <w:u w:val="single"/>
        </w:rPr>
      </w:pPr>
      <w:r w:rsidRPr="00CE7B1A">
        <w:rPr>
          <w:rFonts w:cs="Arial"/>
          <w:sz w:val="24"/>
          <w:szCs w:val="24"/>
          <w:u w:val="single"/>
        </w:rPr>
        <w:t>Beschreibung:</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In der Regel erdüberdeckter in der Örtlichkeit gebauter Behälter mit flach aufliegendem Boden (Flachbodentank) zur Lagerung von Kraft- und Treibstoffen.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Bauwerke, </w:t>
      </w:r>
      <w:proofErr w:type="spellStart"/>
      <w:r w:rsidRPr="00CE7B1A">
        <w:rPr>
          <w:rFonts w:cs="Arial"/>
          <w:sz w:val="24"/>
          <w:szCs w:val="24"/>
        </w:rPr>
        <w:t>Be</w:t>
      </w:r>
      <w:proofErr w:type="spellEnd"/>
      <w:r w:rsidRPr="00CE7B1A">
        <w:rPr>
          <w:rFonts w:cs="Arial"/>
          <w:sz w:val="24"/>
          <w:szCs w:val="24"/>
        </w:rPr>
        <w:t>- und Entlüftungseinrichtungen sowie Armaturen eines Flachbodentanks wie beispielsweise Pumpenhäuser (</w:t>
      </w:r>
      <w:proofErr w:type="spellStart"/>
      <w:r w:rsidRPr="00CE7B1A">
        <w:rPr>
          <w:rFonts w:cs="Arial"/>
          <w:sz w:val="24"/>
          <w:szCs w:val="24"/>
        </w:rPr>
        <w:fldChar w:fldCharType="begin"/>
      </w:r>
      <w:r w:rsidRPr="00CE7B1A">
        <w:rPr>
          <w:rFonts w:cs="Arial"/>
          <w:sz w:val="24"/>
          <w:szCs w:val="24"/>
        </w:rPr>
        <w:instrText>HYPERLINK "./" \l "/explorer/class/ebe48c1a-8c4a-4cae-a790-ecd7101c059e"</w:instrText>
      </w:r>
      <w:r w:rsidRPr="00CE7B1A">
        <w:rPr>
          <w:rFonts w:cs="Arial"/>
          <w:sz w:val="24"/>
          <w:szCs w:val="24"/>
        </w:rPr>
      </w:r>
      <w:r w:rsidRPr="00CE7B1A">
        <w:rPr>
          <w:rFonts w:cs="Arial"/>
          <w:sz w:val="24"/>
          <w:szCs w:val="24"/>
        </w:rPr>
        <w:fldChar w:fldCharType="separate"/>
      </w:r>
      <w:r w:rsidRPr="00CE7B1A">
        <w:rPr>
          <w:rFonts w:cs="Arial"/>
          <w:color w:val="0000FF"/>
          <w:sz w:val="24"/>
          <w:szCs w:val="24"/>
          <w:u w:val="single"/>
        </w:rPr>
        <w:t>UF_GebaeudeAllgemein</w:t>
      </w:r>
      <w:proofErr w:type="spellEnd"/>
      <w:r w:rsidRPr="00CE7B1A">
        <w:rPr>
          <w:rFonts w:cs="Arial"/>
          <w:sz w:val="24"/>
          <w:szCs w:val="24"/>
        </w:rPr>
        <w:fldChar w:fldCharType="end"/>
      </w:r>
      <w:r w:rsidRPr="00CE7B1A">
        <w:rPr>
          <w:rFonts w:cs="Arial"/>
          <w:sz w:val="24"/>
          <w:szCs w:val="24"/>
        </w:rPr>
        <w:t>), Schächte (</w:t>
      </w:r>
      <w:proofErr w:type="spellStart"/>
      <w:r w:rsidRPr="00CE7B1A">
        <w:rPr>
          <w:rFonts w:cs="Arial"/>
          <w:sz w:val="24"/>
          <w:szCs w:val="24"/>
        </w:rPr>
        <w:fldChar w:fldCharType="begin"/>
      </w:r>
      <w:r w:rsidRPr="00CE7B1A">
        <w:rPr>
          <w:rFonts w:cs="Arial"/>
          <w:sz w:val="24"/>
          <w:szCs w:val="24"/>
        </w:rPr>
        <w:instrText>HYPERLINK "./" \l "/explorer/class/558e573a-39c4-4b9e-8bca-1c1259b364af"</w:instrText>
      </w:r>
      <w:r w:rsidRPr="00CE7B1A">
        <w:rPr>
          <w:rFonts w:cs="Arial"/>
          <w:sz w:val="24"/>
          <w:szCs w:val="24"/>
        </w:rPr>
      </w:r>
      <w:r w:rsidRPr="00CE7B1A">
        <w:rPr>
          <w:rFonts w:cs="Arial"/>
          <w:sz w:val="24"/>
          <w:szCs w:val="24"/>
        </w:rPr>
        <w:fldChar w:fldCharType="separate"/>
      </w:r>
      <w:r w:rsidRPr="00CE7B1A">
        <w:rPr>
          <w:rFonts w:cs="Arial"/>
          <w:color w:val="0000FF"/>
          <w:sz w:val="24"/>
          <w:szCs w:val="24"/>
          <w:u w:val="single"/>
        </w:rPr>
        <w:t>UF_SchachtPOL</w:t>
      </w:r>
      <w:proofErr w:type="spellEnd"/>
      <w:r w:rsidRPr="00CE7B1A">
        <w:rPr>
          <w:rFonts w:cs="Arial"/>
          <w:sz w:val="24"/>
          <w:szCs w:val="24"/>
        </w:rPr>
        <w:fldChar w:fldCharType="end"/>
      </w:r>
      <w:r w:rsidRPr="00CE7B1A">
        <w:rPr>
          <w:rFonts w:cs="Arial"/>
          <w:sz w:val="24"/>
          <w:szCs w:val="24"/>
        </w:rPr>
        <w:t xml:space="preserve">), </w:t>
      </w:r>
      <w:proofErr w:type="spellStart"/>
      <w:r w:rsidRPr="00CE7B1A">
        <w:rPr>
          <w:rFonts w:cs="Arial"/>
          <w:sz w:val="24"/>
          <w:szCs w:val="24"/>
        </w:rPr>
        <w:t>Leckkontrollrohre</w:t>
      </w:r>
      <w:proofErr w:type="spellEnd"/>
      <w:r w:rsidRPr="00CE7B1A">
        <w:rPr>
          <w:rFonts w:cs="Arial"/>
          <w:sz w:val="24"/>
          <w:szCs w:val="24"/>
        </w:rPr>
        <w:t xml:space="preserve"> (</w:t>
      </w:r>
      <w:proofErr w:type="spellStart"/>
      <w:r w:rsidRPr="00CE7B1A">
        <w:rPr>
          <w:rFonts w:cs="Arial"/>
          <w:sz w:val="24"/>
          <w:szCs w:val="24"/>
        </w:rPr>
        <w:fldChar w:fldCharType="begin"/>
      </w:r>
      <w:r w:rsidRPr="00CE7B1A">
        <w:rPr>
          <w:rFonts w:cs="Arial"/>
          <w:sz w:val="24"/>
          <w:szCs w:val="24"/>
        </w:rPr>
        <w:instrText>HYPERLINK "./" \l "/explorer/class/a5c56655-30b2-46fb-aa0d-7aaf18ba771b"</w:instrText>
      </w:r>
      <w:r w:rsidRPr="00CE7B1A">
        <w:rPr>
          <w:rFonts w:cs="Arial"/>
          <w:sz w:val="24"/>
          <w:szCs w:val="24"/>
        </w:rPr>
      </w:r>
      <w:r w:rsidRPr="00CE7B1A">
        <w:rPr>
          <w:rFonts w:cs="Arial"/>
          <w:sz w:val="24"/>
          <w:szCs w:val="24"/>
        </w:rPr>
        <w:fldChar w:fldCharType="separate"/>
      </w:r>
      <w:r w:rsidRPr="00CE7B1A">
        <w:rPr>
          <w:rFonts w:cs="Arial"/>
          <w:color w:val="0000FF"/>
          <w:sz w:val="24"/>
          <w:szCs w:val="24"/>
          <w:u w:val="single"/>
        </w:rPr>
        <w:t>UP_PruefrohrPOL</w:t>
      </w:r>
      <w:proofErr w:type="spellEnd"/>
      <w:r w:rsidRPr="00CE7B1A">
        <w:rPr>
          <w:rFonts w:cs="Arial"/>
          <w:sz w:val="24"/>
          <w:szCs w:val="24"/>
        </w:rPr>
        <w:fldChar w:fldCharType="end"/>
      </w:r>
      <w:r w:rsidRPr="00CE7B1A">
        <w:rPr>
          <w:rFonts w:cs="Arial"/>
          <w:sz w:val="24"/>
          <w:szCs w:val="24"/>
        </w:rPr>
        <w:t>) usw., sind als eigenständige Objekte zu erfassen. Bei Tankpumpenhäusern ist zusätzlich zu der Fußbodenoberkante ein Höhenpunkt Geländeoberfläche am Podest des Eingangs zu erfassen.</w:t>
      </w:r>
    </w:p>
    <w:p w:rsid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Werksgefertigte DIN-Lagerbehälter sind als </w:t>
      </w:r>
      <w:hyperlink r:id="rId4" w:anchor="/explorer/class/3fbcb249-a4b1-4e6b-90c3-1659ccd0dc61" w:history="1">
        <w:proofErr w:type="spellStart"/>
        <w:r w:rsidRPr="00CE7B1A">
          <w:rPr>
            <w:rFonts w:cs="Arial"/>
            <w:color w:val="0000FF"/>
            <w:sz w:val="24"/>
            <w:szCs w:val="24"/>
            <w:u w:val="single"/>
          </w:rPr>
          <w:t>UF_DINLagerbehaelterPOL</w:t>
        </w:r>
        <w:proofErr w:type="spellEnd"/>
      </w:hyperlink>
      <w:r w:rsidRPr="00CE7B1A">
        <w:rPr>
          <w:rFonts w:cs="Arial"/>
          <w:sz w:val="24"/>
          <w:szCs w:val="24"/>
        </w:rPr>
        <w:t xml:space="preserve"> zu erfassen.</w:t>
      </w:r>
    </w:p>
    <w:p w:rsidR="00CE7B1A" w:rsidRDefault="00CE7B1A" w:rsidP="00CE7B1A">
      <w:pPr>
        <w:autoSpaceDE w:val="0"/>
        <w:autoSpaceDN w:val="0"/>
        <w:adjustRightInd w:val="0"/>
        <w:spacing w:after="0" w:line="240" w:lineRule="auto"/>
        <w:ind w:left="0" w:firstLine="0"/>
        <w:rPr>
          <w:rFonts w:cs="Arial"/>
          <w:sz w:val="24"/>
          <w:szCs w:val="24"/>
        </w:rPr>
      </w:pPr>
    </w:p>
    <w:p w:rsidR="00CE7B1A" w:rsidRDefault="00CE7B1A" w:rsidP="00CE7B1A">
      <w:pPr>
        <w:autoSpaceDE w:val="0"/>
        <w:autoSpaceDN w:val="0"/>
        <w:adjustRightInd w:val="0"/>
        <w:spacing w:after="0" w:line="240" w:lineRule="auto"/>
        <w:ind w:left="0" w:firstLine="0"/>
        <w:rPr>
          <w:rFonts w:cs="Arial"/>
          <w:sz w:val="24"/>
          <w:szCs w:val="24"/>
        </w:rPr>
      </w:pPr>
    </w:p>
    <w:p w:rsidR="00CE7B1A" w:rsidRPr="00CE7B1A" w:rsidRDefault="00CE7B1A" w:rsidP="00CE7B1A">
      <w:pPr>
        <w:autoSpaceDE w:val="0"/>
        <w:autoSpaceDN w:val="0"/>
        <w:adjustRightInd w:val="0"/>
        <w:spacing w:after="0" w:line="240" w:lineRule="auto"/>
        <w:ind w:left="0" w:firstLine="0"/>
        <w:rPr>
          <w:rFonts w:cs="Arial"/>
          <w:sz w:val="24"/>
          <w:szCs w:val="24"/>
          <w:u w:val="single"/>
        </w:rPr>
      </w:pPr>
      <w:r w:rsidRPr="00CE7B1A">
        <w:rPr>
          <w:rFonts w:cs="Arial"/>
          <w:sz w:val="24"/>
          <w:szCs w:val="24"/>
          <w:u w:val="single"/>
        </w:rPr>
        <w:t>Erfassungsregel:</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Es ist die Geometrie an der äußeren Hülle des den Tank umgebenden Bauwerks zu erfassen</w:t>
      </w:r>
      <w:r>
        <w:rPr>
          <w:rFonts w:cs="Arial"/>
          <w:sz w:val="24"/>
          <w:szCs w:val="24"/>
        </w:rPr>
        <w:t xml:space="preserve"> </w:t>
      </w:r>
      <w:r w:rsidRPr="00CE7B1A">
        <w:rPr>
          <w:rFonts w:cs="Arial"/>
          <w:sz w:val="24"/>
          <w:szCs w:val="24"/>
          <w:highlight w:val="green"/>
        </w:rPr>
        <w:t>(U</w:t>
      </w:r>
      <w:r w:rsidRPr="00CE7B1A">
        <w:rPr>
          <w:rFonts w:cs="Arial"/>
          <w:sz w:val="24"/>
          <w:szCs w:val="24"/>
          <w:highlight w:val="green"/>
          <w:vertAlign w:val="subscript"/>
        </w:rPr>
        <w:t>1</w:t>
      </w:r>
      <w:r w:rsidRPr="00CE7B1A">
        <w:rPr>
          <w:rFonts w:cs="Arial"/>
          <w:sz w:val="24"/>
          <w:szCs w:val="24"/>
          <w:highlight w:val="green"/>
        </w:rPr>
        <w:t xml:space="preserve"> bis </w:t>
      </w:r>
      <w:proofErr w:type="spellStart"/>
      <w:r w:rsidRPr="00CE7B1A">
        <w:rPr>
          <w:rFonts w:cs="Arial"/>
          <w:sz w:val="24"/>
          <w:szCs w:val="24"/>
          <w:highlight w:val="green"/>
        </w:rPr>
        <w:t>U</w:t>
      </w:r>
      <w:r w:rsidRPr="00CE7B1A">
        <w:rPr>
          <w:rFonts w:cs="Arial"/>
          <w:sz w:val="24"/>
          <w:szCs w:val="24"/>
          <w:highlight w:val="green"/>
          <w:vertAlign w:val="subscript"/>
        </w:rPr>
        <w:t>n</w:t>
      </w:r>
      <w:proofErr w:type="spellEnd"/>
      <w:r w:rsidRPr="00CE7B1A">
        <w:rPr>
          <w:rFonts w:cs="Arial"/>
          <w:sz w:val="24"/>
          <w:szCs w:val="24"/>
          <w:highlight w:val="green"/>
        </w:rPr>
        <w:t>)</w:t>
      </w:r>
      <w:r w:rsidRPr="00CE7B1A">
        <w:rPr>
          <w:rFonts w:cs="Arial"/>
          <w:sz w:val="24"/>
          <w:szCs w:val="24"/>
        </w:rPr>
        <w:t>. Zur Ermittlung der Höhe (bezogen auf das gültige Höhenbezugssystem der Liegenschaft) an den Stützpunkten der Objektgeometrie ist die Oberkante der Bauwerkshülle anzuhalten.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Falls der Umring nicht direkt vermessen werden kann, z. B. bei bestehenden Flachbodentank, ist der Umring aus Planunterlagen – ggf. unter Hinzuziehung eines „Fachmanns“ z. B. des Tanklagerleiters oder der Bauverwaltung - zu rekonstruieren.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In folgenden Standardfällen ist die Rekonstruktion wie folgt durchzuführen: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Flachbodentank Typ1: Der Umring ergibt sich aus einem Kreis, der aus mindestens 3 Punkten der </w:t>
      </w:r>
      <w:proofErr w:type="spellStart"/>
      <w:r w:rsidRPr="00CE7B1A">
        <w:rPr>
          <w:rFonts w:cs="Arial"/>
          <w:sz w:val="24"/>
          <w:szCs w:val="24"/>
        </w:rPr>
        <w:t>Leckkontrollrohre</w:t>
      </w:r>
      <w:proofErr w:type="spellEnd"/>
      <w:r w:rsidRPr="00CE7B1A">
        <w:rPr>
          <w:rFonts w:cs="Arial"/>
          <w:sz w:val="24"/>
          <w:szCs w:val="24"/>
        </w:rPr>
        <w:t xml:space="preserve"> gebildet wird mit entsprechend angepassten </w:t>
      </w:r>
      <w:bookmarkStart w:id="0" w:name="_GoBack"/>
      <w:bookmarkEnd w:id="0"/>
      <w:r w:rsidRPr="00CE7B1A">
        <w:rPr>
          <w:rFonts w:cs="Arial"/>
          <w:sz w:val="24"/>
          <w:szCs w:val="24"/>
        </w:rPr>
        <w:t>Durchmesser auf den Außendurchmesser der äußeren Bauwerkshülle des Flachbodentanks.</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Flachbodentank Typ2: Der Umring ergibt sich aus einem Kreis, der aus zwei Punkten an der Mitte der zwei zur Böschungskante zeigenden Schachtaußenwände gebildet wird mit entsprechend angepassten Durchmesser auf den Außendurchmesser der äußeren Bauwerkshülle des Flachbodentanks.</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Bei Flachbodentanks ist die Oberkante des Domflanschs als Höhenpunkt </w:t>
      </w:r>
      <w:r w:rsidRPr="00CE7B1A">
        <w:rPr>
          <w:rFonts w:cs="Arial"/>
          <w:sz w:val="24"/>
          <w:szCs w:val="24"/>
          <w:highlight w:val="green"/>
        </w:rPr>
        <w:t>H1</w:t>
      </w:r>
      <w:r>
        <w:rPr>
          <w:rFonts w:cs="Arial"/>
          <w:sz w:val="24"/>
          <w:szCs w:val="24"/>
        </w:rPr>
        <w:t xml:space="preserve"> </w:t>
      </w:r>
      <w:r w:rsidRPr="00CE7B1A">
        <w:rPr>
          <w:rFonts w:cs="Arial"/>
          <w:sz w:val="24"/>
          <w:szCs w:val="24"/>
        </w:rPr>
        <w:t>(</w:t>
      </w:r>
      <w:proofErr w:type="spellStart"/>
      <w:r w:rsidRPr="00CE7B1A">
        <w:rPr>
          <w:rFonts w:cs="Arial"/>
          <w:sz w:val="24"/>
          <w:szCs w:val="24"/>
        </w:rPr>
        <w:fldChar w:fldCharType="begin"/>
      </w:r>
      <w:r w:rsidRPr="00CE7B1A">
        <w:rPr>
          <w:rFonts w:cs="Arial"/>
          <w:sz w:val="24"/>
          <w:szCs w:val="24"/>
        </w:rPr>
        <w:instrText>HYPERLINK "./" \l "/explorer/class/561b78fa-c5fe-461f-80fc-8604e728929b"</w:instrText>
      </w:r>
      <w:r w:rsidRPr="00CE7B1A">
        <w:rPr>
          <w:rFonts w:cs="Arial"/>
          <w:sz w:val="24"/>
          <w:szCs w:val="24"/>
        </w:rPr>
      </w:r>
      <w:r w:rsidRPr="00CE7B1A">
        <w:rPr>
          <w:rFonts w:cs="Arial"/>
          <w:sz w:val="24"/>
          <w:szCs w:val="24"/>
        </w:rPr>
        <w:fldChar w:fldCharType="separate"/>
      </w:r>
      <w:r w:rsidRPr="00CE7B1A">
        <w:rPr>
          <w:rFonts w:cs="Arial"/>
          <w:color w:val="0000FF"/>
          <w:sz w:val="24"/>
          <w:szCs w:val="24"/>
          <w:u w:val="single"/>
        </w:rPr>
        <w:t>BP_HoehenpunktObjekt</w:t>
      </w:r>
      <w:proofErr w:type="spellEnd"/>
      <w:r w:rsidRPr="00CE7B1A">
        <w:rPr>
          <w:rFonts w:cs="Arial"/>
          <w:sz w:val="24"/>
          <w:szCs w:val="24"/>
        </w:rPr>
        <w:fldChar w:fldCharType="end"/>
      </w:r>
      <w:r w:rsidR="00281C4F">
        <w:rPr>
          <w:rFonts w:cs="Arial"/>
          <w:sz w:val="24"/>
          <w:szCs w:val="24"/>
        </w:rPr>
        <w:t xml:space="preserve">) zu erfassen sowie die </w:t>
      </w:r>
      <w:r w:rsidRPr="00CE7B1A">
        <w:rPr>
          <w:rFonts w:cs="Arial"/>
          <w:strike/>
          <w:color w:val="FF0000"/>
          <w:sz w:val="24"/>
          <w:szCs w:val="24"/>
        </w:rPr>
        <w:t>Betondecke</w:t>
      </w:r>
      <w:r w:rsidR="00281C4F" w:rsidRPr="00281C4F">
        <w:rPr>
          <w:rFonts w:cs="Arial"/>
          <w:sz w:val="24"/>
          <w:szCs w:val="24"/>
        </w:rPr>
        <w:t xml:space="preserve"> </w:t>
      </w:r>
      <w:proofErr w:type="spellStart"/>
      <w:r w:rsidR="00281C4F" w:rsidRPr="00281C4F">
        <w:rPr>
          <w:rFonts w:cs="Arial"/>
          <w:sz w:val="24"/>
          <w:szCs w:val="24"/>
          <w:highlight w:val="green"/>
        </w:rPr>
        <w:t>Fertigfussbodenoberkante</w:t>
      </w:r>
      <w:proofErr w:type="spellEnd"/>
      <w:r w:rsidR="00281C4F" w:rsidRPr="00281C4F">
        <w:rPr>
          <w:rFonts w:cs="Arial"/>
          <w:sz w:val="24"/>
          <w:szCs w:val="24"/>
          <w:highlight w:val="green"/>
        </w:rPr>
        <w:t xml:space="preserve"> (</w:t>
      </w:r>
      <w:proofErr w:type="spellStart"/>
      <w:r w:rsidR="00281C4F" w:rsidRPr="00281C4F">
        <w:rPr>
          <w:rFonts w:cs="Arial"/>
          <w:color w:val="0000FF"/>
          <w:sz w:val="24"/>
          <w:szCs w:val="24"/>
          <w:highlight w:val="green"/>
          <w:u w:val="single"/>
        </w:rPr>
        <w:t>UP_Fertigfussboden</w:t>
      </w:r>
      <w:r w:rsidR="00281C4F" w:rsidRPr="00CE7B1A">
        <w:rPr>
          <w:rFonts w:cs="Arial"/>
          <w:color w:val="0000FF"/>
          <w:sz w:val="24"/>
          <w:szCs w:val="24"/>
          <w:highlight w:val="green"/>
          <w:u w:val="single"/>
        </w:rPr>
        <w:t>Oberkante</w:t>
      </w:r>
      <w:proofErr w:type="spellEnd"/>
      <w:r w:rsidR="00281C4F" w:rsidRPr="00281C4F">
        <w:rPr>
          <w:rFonts w:cs="Arial"/>
          <w:sz w:val="24"/>
          <w:szCs w:val="24"/>
          <w:highlight w:val="green"/>
        </w:rPr>
        <w:t>)</w:t>
      </w:r>
      <w:r w:rsidRPr="00CE7B1A">
        <w:rPr>
          <w:rFonts w:cs="Arial"/>
          <w:sz w:val="24"/>
          <w:szCs w:val="24"/>
        </w:rPr>
        <w:t>.</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Bei einem im Bau befindlichen Flachbodentank sind zusätzlich die Höhenpunkte "Oberkante Pumpensumpf" </w:t>
      </w:r>
      <w:r w:rsidR="00281C4F" w:rsidRPr="00281C4F">
        <w:rPr>
          <w:rFonts w:cs="Arial"/>
          <w:sz w:val="24"/>
          <w:szCs w:val="24"/>
          <w:highlight w:val="green"/>
        </w:rPr>
        <w:t>H2</w:t>
      </w:r>
      <w:r w:rsidR="00281C4F">
        <w:rPr>
          <w:rFonts w:cs="Arial"/>
          <w:sz w:val="24"/>
          <w:szCs w:val="24"/>
        </w:rPr>
        <w:t xml:space="preserve"> </w:t>
      </w:r>
      <w:r w:rsidRPr="00CE7B1A">
        <w:rPr>
          <w:rFonts w:cs="Arial"/>
          <w:sz w:val="24"/>
          <w:szCs w:val="24"/>
        </w:rPr>
        <w:t xml:space="preserve">und "Unterkante Pumpensumpf" </w:t>
      </w:r>
      <w:r w:rsidR="00281C4F" w:rsidRPr="00281C4F">
        <w:rPr>
          <w:rFonts w:cs="Arial"/>
          <w:sz w:val="24"/>
          <w:szCs w:val="24"/>
          <w:highlight w:val="green"/>
        </w:rPr>
        <w:t>H3</w:t>
      </w:r>
      <w:r w:rsidR="00281C4F">
        <w:rPr>
          <w:rFonts w:cs="Arial"/>
          <w:sz w:val="24"/>
          <w:szCs w:val="24"/>
        </w:rPr>
        <w:t xml:space="preserve"> </w:t>
      </w:r>
      <w:r w:rsidRPr="00CE7B1A">
        <w:rPr>
          <w:rFonts w:cs="Arial"/>
          <w:sz w:val="24"/>
          <w:szCs w:val="24"/>
        </w:rPr>
        <w:t>zu erfassen.</w:t>
      </w:r>
    </w:p>
    <w:p w:rsidR="00CE7B1A" w:rsidRPr="00CE7B1A" w:rsidRDefault="00CE7B1A" w:rsidP="00CE7B1A">
      <w:pPr>
        <w:autoSpaceDE w:val="0"/>
        <w:autoSpaceDN w:val="0"/>
        <w:adjustRightInd w:val="0"/>
        <w:spacing w:after="0" w:line="240" w:lineRule="auto"/>
        <w:ind w:left="0" w:firstLine="0"/>
        <w:rPr>
          <w:rFonts w:cs="Arial"/>
          <w:sz w:val="24"/>
          <w:szCs w:val="24"/>
        </w:rPr>
      </w:pPr>
    </w:p>
    <w:sectPr w:rsidR="00CE7B1A" w:rsidRPr="00CE7B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1A"/>
    <w:rsid w:val="00281C4F"/>
    <w:rsid w:val="0086268F"/>
    <w:rsid w:val="00CE7B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D7851"/>
  <w15:chartTrackingRefBased/>
  <w15:docId w15:val="{7F65B899-B10E-4A9E-A8DD-EA7E335C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20"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CE7B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2139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Land Hessen</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Bersch, Jürgen (LBIH)</dc:creator>
  <cp:keywords/>
  <dc:description/>
  <cp:lastModifiedBy>Bersch, Jürgen (LBIH)</cp:lastModifiedBy>
  <cp:revision>1</cp:revision>
  <dcterms:created xsi:type="dcterms:W3CDTF">2019-06-25T05:59:00Z</dcterms:created>
  <dcterms:modified xsi:type="dcterms:W3CDTF">2019-06-25T06:15:00Z</dcterms:modified>
</cp:coreProperties>
</file>